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AD" w:rsidRPr="003343AD" w:rsidRDefault="003343AD" w:rsidP="003343AD">
      <w:pPr>
        <w:jc w:val="center"/>
        <w:rPr>
          <w:b/>
          <w:bCs/>
        </w:rPr>
      </w:pPr>
      <w:r w:rsidRPr="003343AD">
        <w:rPr>
          <w:b/>
          <w:bCs/>
        </w:rPr>
        <w:t>MINUTA DE DECRETO – NOMEAÇÃO DE COMISSÃO MUNICIPAL</w:t>
      </w:r>
    </w:p>
    <w:p w:rsidR="003343AD" w:rsidRPr="003343AD" w:rsidRDefault="003343AD" w:rsidP="003343AD">
      <w:pPr>
        <w:jc w:val="both"/>
      </w:pPr>
      <w:r w:rsidRPr="003343AD">
        <w:t>PARA ACOMPANHAMENTO DA TRANSIÇÃO DA REFORMA TRIBUTÁRIA</w:t>
      </w:r>
      <w:r w:rsidRPr="003343AD">
        <w:br/>
      </w:r>
      <w:proofErr w:type="gramStart"/>
      <w:r w:rsidRPr="003343AD">
        <w:t>(</w:t>
      </w:r>
      <w:proofErr w:type="spellStart"/>
      <w:proofErr w:type="gramEnd"/>
      <w:r w:rsidRPr="003343AD">
        <w:t>IBS</w:t>
      </w:r>
      <w:proofErr w:type="spellEnd"/>
      <w:r w:rsidRPr="003343AD">
        <w:t>/</w:t>
      </w:r>
      <w:proofErr w:type="spellStart"/>
      <w:r w:rsidRPr="003343AD">
        <w:t>CBS</w:t>
      </w:r>
      <w:proofErr w:type="spellEnd"/>
      <w:r w:rsidRPr="003343AD">
        <w:t>/ISS) E ADEQUAÇÕES MUNICIPAIS**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DECRETO Nº </w:t>
      </w:r>
      <w:r w:rsidRPr="003343AD">
        <w:rPr>
          <w:b/>
          <w:bCs/>
          <w:i/>
          <w:iCs/>
        </w:rPr>
        <w:t>_</w:t>
      </w:r>
      <w:r w:rsidRPr="003343AD">
        <w:rPr>
          <w:b/>
          <w:bCs/>
        </w:rPr>
        <w:t>/2026</w:t>
      </w:r>
      <w:r w:rsidRPr="003343AD">
        <w:br/>
        <w:t>Institui e nomeia a </w:t>
      </w:r>
      <w:r w:rsidRPr="003343AD">
        <w:rPr>
          <w:b/>
          <w:bCs/>
        </w:rPr>
        <w:t>Comissão Municipal de Acompanhamento da Transição da Reforma Tributária</w:t>
      </w:r>
      <w:r w:rsidRPr="003343AD">
        <w:t>, estabelece suas competências e dá outras providências.</w:t>
      </w:r>
    </w:p>
    <w:p w:rsidR="003343AD" w:rsidRPr="003343AD" w:rsidRDefault="003343AD" w:rsidP="003343AD">
      <w:pPr>
        <w:jc w:val="both"/>
        <w:rPr>
          <w:b/>
          <w:bCs/>
        </w:rPr>
      </w:pPr>
      <w:r w:rsidRPr="003343AD">
        <w:rPr>
          <w:b/>
          <w:bCs/>
        </w:rPr>
        <w:t>O PREFEITO DO MUNICÍPIO DE ____, ESTADO DO TOCANTINS,</w:t>
      </w:r>
    </w:p>
    <w:p w:rsidR="003343AD" w:rsidRPr="003343AD" w:rsidRDefault="003343AD" w:rsidP="003343AD">
      <w:pPr>
        <w:jc w:val="both"/>
      </w:pPr>
      <w:proofErr w:type="gramStart"/>
      <w:r w:rsidRPr="003343AD">
        <w:t>no</w:t>
      </w:r>
      <w:proofErr w:type="gramEnd"/>
      <w:r w:rsidRPr="003343AD">
        <w:t xml:space="preserve"> uso das atribuições legais que lhe confere a Lei Orgânica Municipal,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CONSIDERANDO</w:t>
      </w:r>
      <w:r w:rsidRPr="003343AD">
        <w:t> a necessidade de o Município cumprir as exigências técnicas, normativas e operacionais estabelecidas pela </w:t>
      </w:r>
      <w:r w:rsidRPr="003343AD">
        <w:rPr>
          <w:b/>
          <w:bCs/>
        </w:rPr>
        <w:t>Emenda Constitucional nº 132/2023</w:t>
      </w:r>
      <w:r w:rsidRPr="003343AD">
        <w:t>, pela </w:t>
      </w:r>
      <w:r w:rsidRPr="003343AD">
        <w:rPr>
          <w:b/>
          <w:bCs/>
        </w:rPr>
        <w:t>Lei Complementar nº 214/2025</w:t>
      </w:r>
      <w:r w:rsidRPr="003343AD">
        <w:t xml:space="preserve"> (que regulamenta o </w:t>
      </w:r>
      <w:proofErr w:type="spellStart"/>
      <w:r w:rsidRPr="003343AD">
        <w:t>IBS</w:t>
      </w:r>
      <w:proofErr w:type="spellEnd"/>
      <w:r w:rsidRPr="003343AD">
        <w:t>), pela </w:t>
      </w:r>
      <w:r w:rsidRPr="003343AD">
        <w:rPr>
          <w:b/>
          <w:bCs/>
        </w:rPr>
        <w:t>Lei Complementar nº 215/2023</w:t>
      </w:r>
      <w:r w:rsidRPr="003343AD">
        <w:t> (</w:t>
      </w:r>
      <w:proofErr w:type="spellStart"/>
      <w:r w:rsidRPr="003343AD">
        <w:t>Cashback</w:t>
      </w:r>
      <w:proofErr w:type="spellEnd"/>
      <w:r w:rsidRPr="003343AD">
        <w:t>), e pela </w:t>
      </w:r>
      <w:r w:rsidRPr="003343AD">
        <w:rPr>
          <w:b/>
          <w:bCs/>
        </w:rPr>
        <w:t>Lei Complementar nº 227/2026</w:t>
      </w:r>
      <w:r w:rsidRPr="003343AD">
        <w:t xml:space="preserve"> (regramentos para IPTU, </w:t>
      </w:r>
      <w:proofErr w:type="spellStart"/>
      <w:r w:rsidRPr="003343AD">
        <w:t>ITBI</w:t>
      </w:r>
      <w:proofErr w:type="spellEnd"/>
      <w:r w:rsidRPr="003343AD">
        <w:t xml:space="preserve"> e </w:t>
      </w:r>
      <w:proofErr w:type="spellStart"/>
      <w:r w:rsidRPr="003343AD">
        <w:t>COSISP</w:t>
      </w:r>
      <w:proofErr w:type="spellEnd"/>
      <w:r w:rsidRPr="003343AD">
        <w:t>);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CONSIDERANDO</w:t>
      </w:r>
      <w:r w:rsidRPr="003343AD">
        <w:t> as obrigações municipais relacionadas ao </w:t>
      </w:r>
      <w:r w:rsidRPr="003343AD">
        <w:rPr>
          <w:b/>
          <w:bCs/>
        </w:rPr>
        <w:t xml:space="preserve">Padrão Nacional da </w:t>
      </w:r>
      <w:proofErr w:type="spellStart"/>
      <w:r w:rsidRPr="003343AD">
        <w:rPr>
          <w:b/>
          <w:bCs/>
        </w:rPr>
        <w:t>NFS</w:t>
      </w:r>
      <w:r w:rsidRPr="003343AD">
        <w:rPr>
          <w:b/>
          <w:bCs/>
        </w:rPr>
        <w:noBreakHyphen/>
        <w:t>e</w:t>
      </w:r>
      <w:proofErr w:type="spellEnd"/>
      <w:r w:rsidRPr="003343AD">
        <w:t>, nos termos do </w:t>
      </w:r>
      <w:r w:rsidRPr="003343AD">
        <w:rPr>
          <w:b/>
          <w:bCs/>
        </w:rPr>
        <w:t xml:space="preserve">Convênio Nacional da </w:t>
      </w:r>
      <w:proofErr w:type="spellStart"/>
      <w:r w:rsidRPr="003343AD">
        <w:rPr>
          <w:b/>
          <w:bCs/>
        </w:rPr>
        <w:t>NFS</w:t>
      </w:r>
      <w:r w:rsidRPr="003343AD">
        <w:rPr>
          <w:b/>
          <w:bCs/>
        </w:rPr>
        <w:noBreakHyphen/>
        <w:t>e</w:t>
      </w:r>
      <w:proofErr w:type="spellEnd"/>
      <w:r w:rsidRPr="003343AD">
        <w:t> e da </w:t>
      </w:r>
      <w:r w:rsidRPr="003343AD">
        <w:rPr>
          <w:b/>
          <w:bCs/>
        </w:rPr>
        <w:t>NT nº 004/2025 – SE/</w:t>
      </w:r>
      <w:proofErr w:type="spellStart"/>
      <w:r w:rsidRPr="003343AD">
        <w:rPr>
          <w:b/>
          <w:bCs/>
        </w:rPr>
        <w:t>CGNFS</w:t>
      </w:r>
      <w:r w:rsidRPr="003343AD">
        <w:rPr>
          <w:b/>
          <w:bCs/>
        </w:rPr>
        <w:noBreakHyphen/>
        <w:t>e</w:t>
      </w:r>
      <w:proofErr w:type="spellEnd"/>
      <w:r w:rsidRPr="003343AD">
        <w:t>;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CONSIDERANDO</w:t>
      </w:r>
      <w:r w:rsidRPr="003343AD">
        <w:t xml:space="preserve"> a necessidade de organizar ações administrativas, normativas, fiscais, cadastrais, tecnológicas e contábeis referentes à transição do ISS para o </w:t>
      </w:r>
      <w:proofErr w:type="spellStart"/>
      <w:r w:rsidRPr="003343AD">
        <w:t>IBS</w:t>
      </w:r>
      <w:proofErr w:type="spellEnd"/>
      <w:r w:rsidRPr="003343AD">
        <w:t>, conforme regras previstas no art. 10 da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214/2025</w:t>
      </w:r>
      <w:r w:rsidRPr="003343AD">
        <w:t> e demais dispositivos aplicáveis;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CONSIDERANDO</w:t>
      </w:r>
      <w:r w:rsidRPr="003343AD">
        <w:t xml:space="preserve"> o cronograma nacional que exige dos Municípios adequações entre 2025 e 2032, envolvendo </w:t>
      </w:r>
      <w:proofErr w:type="spellStart"/>
      <w:proofErr w:type="gramStart"/>
      <w:r w:rsidRPr="003343AD">
        <w:t>NFSe</w:t>
      </w:r>
      <w:proofErr w:type="spellEnd"/>
      <w:proofErr w:type="gramEnd"/>
      <w:r w:rsidRPr="003343AD">
        <w:t xml:space="preserve">, Cadastro </w:t>
      </w:r>
      <w:proofErr w:type="spellStart"/>
      <w:r w:rsidRPr="003343AD">
        <w:t>IBS</w:t>
      </w:r>
      <w:proofErr w:type="spellEnd"/>
      <w:r w:rsidRPr="003343AD">
        <w:t xml:space="preserve">, CNPJ alfanumérico, </w:t>
      </w:r>
      <w:proofErr w:type="spellStart"/>
      <w:r w:rsidRPr="003343AD">
        <w:t>CIB</w:t>
      </w:r>
      <w:proofErr w:type="spellEnd"/>
      <w:r w:rsidRPr="003343AD">
        <w:t>/</w:t>
      </w:r>
      <w:proofErr w:type="spellStart"/>
      <w:r w:rsidRPr="003343AD">
        <w:t>SINTER</w:t>
      </w:r>
      <w:proofErr w:type="spellEnd"/>
      <w:r w:rsidRPr="003343AD">
        <w:t xml:space="preserve">, </w:t>
      </w:r>
      <w:proofErr w:type="spellStart"/>
      <w:r w:rsidRPr="003343AD">
        <w:t>CNAE</w:t>
      </w:r>
      <w:proofErr w:type="spellEnd"/>
      <w:r w:rsidRPr="003343AD">
        <w:t xml:space="preserve"> 3.0, reestruturação administrativa, medidas de incremento de arrecadação, Simples Nacional, capacitações e </w:t>
      </w:r>
      <w:proofErr w:type="spellStart"/>
      <w:r w:rsidRPr="003343AD">
        <w:t>Cashback</w:t>
      </w:r>
      <w:proofErr w:type="spellEnd"/>
      <w:r w:rsidRPr="003343AD">
        <w:t>;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DECRETA: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Art. 1º</w:t>
      </w:r>
      <w:r>
        <w:rPr>
          <w:b/>
          <w:bCs/>
        </w:rPr>
        <w:t xml:space="preserve"> </w:t>
      </w:r>
      <w:r w:rsidRPr="003343AD">
        <w:t>Fica instituída a </w:t>
      </w:r>
      <w:r w:rsidRPr="003343AD">
        <w:rPr>
          <w:b/>
          <w:bCs/>
        </w:rPr>
        <w:t>COMISSÃO MUNICIPAL DE ACOMPANHAMENTO DA TRANSIÇÃO DA REFORMA TRIBUTÁRIA</w:t>
      </w:r>
      <w:r w:rsidRPr="003343AD">
        <w:t xml:space="preserve">, de caráter técnico, deliberativo e executivo, responsável por planejar, coordenar, monitorar e </w:t>
      </w:r>
      <w:proofErr w:type="gramStart"/>
      <w:r w:rsidRPr="003343AD">
        <w:t>implementar</w:t>
      </w:r>
      <w:proofErr w:type="gramEnd"/>
      <w:r w:rsidRPr="003343AD">
        <w:t xml:space="preserve"> todas as ações necessárias para adequação do Município às normas federais relativas ao </w:t>
      </w:r>
      <w:proofErr w:type="spellStart"/>
      <w:r w:rsidRPr="003343AD">
        <w:t>IBS</w:t>
      </w:r>
      <w:proofErr w:type="spellEnd"/>
      <w:r w:rsidRPr="003343AD">
        <w:t xml:space="preserve">, </w:t>
      </w:r>
      <w:proofErr w:type="spellStart"/>
      <w:r w:rsidRPr="003343AD">
        <w:t>CBS</w:t>
      </w:r>
      <w:proofErr w:type="spellEnd"/>
      <w:r w:rsidRPr="003343AD">
        <w:t xml:space="preserve">, ISS, </w:t>
      </w:r>
      <w:proofErr w:type="spellStart"/>
      <w:r w:rsidRPr="003343AD">
        <w:t>NFS</w:t>
      </w:r>
      <w:r w:rsidRPr="003343AD">
        <w:noBreakHyphen/>
        <w:t>e</w:t>
      </w:r>
      <w:proofErr w:type="spellEnd"/>
      <w:r w:rsidRPr="003343AD">
        <w:t xml:space="preserve"> Nacional e demais obrigações correlatas.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Art. 2º</w:t>
      </w:r>
      <w:r>
        <w:rPr>
          <w:b/>
          <w:bCs/>
        </w:rPr>
        <w:t xml:space="preserve"> </w:t>
      </w:r>
      <w:r w:rsidRPr="003343AD">
        <w:t>A Comissão terá como finalidades principais:</w:t>
      </w:r>
    </w:p>
    <w:p w:rsidR="003343AD" w:rsidRDefault="003343AD" w:rsidP="003343AD">
      <w:pPr>
        <w:jc w:val="both"/>
      </w:pPr>
      <w:r w:rsidRPr="003343AD">
        <w:t>I – Planejar e executar as ações previstas nos eixos </w:t>
      </w:r>
      <w:proofErr w:type="spellStart"/>
      <w:proofErr w:type="gramStart"/>
      <w:r w:rsidRPr="003343AD">
        <w:rPr>
          <w:b/>
          <w:bCs/>
        </w:rPr>
        <w:t>NFSe</w:t>
      </w:r>
      <w:proofErr w:type="spellEnd"/>
      <w:proofErr w:type="gramEnd"/>
      <w:r w:rsidRPr="003343AD">
        <w:rPr>
          <w:b/>
          <w:bCs/>
        </w:rPr>
        <w:t xml:space="preserve">, Normativo, Cadastro, Financeiro, Simples Nacional, Estrutura Administrativa e </w:t>
      </w:r>
      <w:proofErr w:type="spellStart"/>
      <w:r w:rsidRPr="003343AD">
        <w:rPr>
          <w:b/>
          <w:bCs/>
        </w:rPr>
        <w:t>Cashback</w:t>
      </w:r>
      <w:proofErr w:type="spellEnd"/>
      <w:r w:rsidRPr="003343AD">
        <w:t>, conforme diretrizes contidas na Agenda Nacional de Transição;</w:t>
      </w:r>
    </w:p>
    <w:p w:rsidR="003343AD" w:rsidRDefault="003343AD" w:rsidP="003343AD">
      <w:pPr>
        <w:jc w:val="both"/>
      </w:pPr>
      <w:r w:rsidRPr="003343AD">
        <w:t>II – Coordenar a adaptação da legislação municipal ao disposto na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214/2025</w:t>
      </w:r>
      <w:r w:rsidRPr="003343AD">
        <w:t>,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215/2023</w:t>
      </w:r>
      <w:r w:rsidRPr="003343AD">
        <w:t> e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227/2026</w:t>
      </w:r>
      <w:r w:rsidRPr="003343AD">
        <w:t xml:space="preserve">, especialmente quanto ao ISS, IPTU, </w:t>
      </w:r>
      <w:proofErr w:type="spellStart"/>
      <w:r w:rsidRPr="003343AD">
        <w:t>ITBI</w:t>
      </w:r>
      <w:proofErr w:type="spellEnd"/>
      <w:r w:rsidRPr="003343AD">
        <w:t xml:space="preserve"> e </w:t>
      </w:r>
      <w:proofErr w:type="spellStart"/>
      <w:r w:rsidRPr="003343AD">
        <w:t>COSISP</w:t>
      </w:r>
      <w:proofErr w:type="spellEnd"/>
      <w:r w:rsidRPr="003343AD">
        <w:t>;</w:t>
      </w:r>
    </w:p>
    <w:p w:rsidR="003343AD" w:rsidRDefault="003343AD" w:rsidP="003343AD">
      <w:pPr>
        <w:jc w:val="both"/>
      </w:pPr>
      <w:r w:rsidRPr="003343AD">
        <w:t>III – Supervisionar a adesão, parametrização e integração ao </w:t>
      </w:r>
      <w:r w:rsidRPr="003343AD">
        <w:rPr>
          <w:b/>
          <w:bCs/>
        </w:rPr>
        <w:t xml:space="preserve">Padrão Nacional da </w:t>
      </w:r>
      <w:proofErr w:type="spellStart"/>
      <w:r w:rsidRPr="003343AD">
        <w:rPr>
          <w:b/>
          <w:bCs/>
        </w:rPr>
        <w:t>NFS</w:t>
      </w:r>
      <w:r w:rsidRPr="003343AD">
        <w:rPr>
          <w:b/>
          <w:bCs/>
        </w:rPr>
        <w:noBreakHyphen/>
        <w:t>e</w:t>
      </w:r>
      <w:proofErr w:type="spellEnd"/>
      <w:r w:rsidRPr="003343AD">
        <w:t>, nos termos do Convênio Nacional e da </w:t>
      </w:r>
      <w:r w:rsidRPr="003343AD">
        <w:rPr>
          <w:b/>
          <w:bCs/>
        </w:rPr>
        <w:t>NT nº 004/2025 – SE/</w:t>
      </w:r>
      <w:proofErr w:type="spellStart"/>
      <w:r w:rsidRPr="003343AD">
        <w:rPr>
          <w:b/>
          <w:bCs/>
        </w:rPr>
        <w:t>CGNFS</w:t>
      </w:r>
      <w:r w:rsidRPr="003343AD">
        <w:rPr>
          <w:b/>
          <w:bCs/>
        </w:rPr>
        <w:noBreakHyphen/>
        <w:t>e</w:t>
      </w:r>
      <w:proofErr w:type="spellEnd"/>
      <w:r w:rsidRPr="003343AD">
        <w:t>;</w:t>
      </w:r>
      <w:r w:rsidRPr="003343AD">
        <w:br/>
        <w:t>IV – Organizar e conduzir as adequações cadastrais ao </w:t>
      </w:r>
      <w:r w:rsidRPr="003343AD">
        <w:rPr>
          <w:b/>
          <w:bCs/>
        </w:rPr>
        <w:t xml:space="preserve">Cadastro </w:t>
      </w:r>
      <w:proofErr w:type="spellStart"/>
      <w:r w:rsidRPr="003343AD">
        <w:rPr>
          <w:b/>
          <w:bCs/>
        </w:rPr>
        <w:t>IBS</w:t>
      </w:r>
      <w:proofErr w:type="spellEnd"/>
      <w:r w:rsidRPr="003343AD">
        <w:t>, ao </w:t>
      </w:r>
      <w:r w:rsidRPr="003343AD">
        <w:rPr>
          <w:b/>
          <w:bCs/>
        </w:rPr>
        <w:t>CNPJ alfanumérico</w:t>
      </w:r>
      <w:r w:rsidRPr="003343AD">
        <w:t>, ao </w:t>
      </w:r>
      <w:proofErr w:type="spellStart"/>
      <w:r w:rsidRPr="003343AD">
        <w:rPr>
          <w:b/>
          <w:bCs/>
        </w:rPr>
        <w:t>CIB</w:t>
      </w:r>
      <w:proofErr w:type="spellEnd"/>
      <w:r w:rsidRPr="003343AD">
        <w:rPr>
          <w:b/>
          <w:bCs/>
        </w:rPr>
        <w:t>/</w:t>
      </w:r>
      <w:proofErr w:type="spellStart"/>
      <w:r w:rsidRPr="003343AD">
        <w:rPr>
          <w:b/>
          <w:bCs/>
        </w:rPr>
        <w:t>SINTER</w:t>
      </w:r>
      <w:proofErr w:type="spellEnd"/>
      <w:r w:rsidRPr="003343AD">
        <w:t>, ao </w:t>
      </w:r>
      <w:proofErr w:type="spellStart"/>
      <w:r w:rsidRPr="003343AD">
        <w:rPr>
          <w:b/>
          <w:bCs/>
        </w:rPr>
        <w:t>CNAE</w:t>
      </w:r>
      <w:proofErr w:type="spellEnd"/>
      <w:r w:rsidRPr="003343AD">
        <w:rPr>
          <w:b/>
          <w:bCs/>
        </w:rPr>
        <w:t xml:space="preserve"> 3.0</w:t>
      </w:r>
      <w:r w:rsidRPr="003343AD">
        <w:t>, e às metodologias do valor de referência previstas em regulamento e na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227/2026</w:t>
      </w:r>
      <w:r w:rsidRPr="003343AD">
        <w:t>;</w:t>
      </w:r>
    </w:p>
    <w:p w:rsidR="003343AD" w:rsidRDefault="003343AD" w:rsidP="003343AD">
      <w:pPr>
        <w:jc w:val="both"/>
      </w:pPr>
      <w:r w:rsidRPr="003343AD">
        <w:lastRenderedPageBreak/>
        <w:t>V – Acompanhar a revisão contábil do ISS no </w:t>
      </w:r>
      <w:proofErr w:type="spellStart"/>
      <w:r w:rsidRPr="003343AD">
        <w:rPr>
          <w:b/>
          <w:bCs/>
        </w:rPr>
        <w:t>SICONFI</w:t>
      </w:r>
      <w:proofErr w:type="spellEnd"/>
      <w:r w:rsidRPr="003343AD">
        <w:t>, conforme disposições da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214/2025</w:t>
      </w:r>
      <w:r w:rsidRPr="003343AD">
        <w:t xml:space="preserve">, garantindo a correta apuração do coeficiente municipal de participação no </w:t>
      </w:r>
      <w:proofErr w:type="spellStart"/>
      <w:r w:rsidRPr="003343AD">
        <w:t>IBS</w:t>
      </w:r>
      <w:proofErr w:type="spellEnd"/>
      <w:r w:rsidRPr="003343AD">
        <w:t>;</w:t>
      </w:r>
      <w:r w:rsidRPr="003343AD">
        <w:br/>
        <w:t>VI – Planejar e executar medidas de incremento de arrecadação do ISS até 2026 e 2031, conforme previsto na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214/2025</w:t>
      </w:r>
      <w:r w:rsidRPr="003343AD">
        <w:t>;</w:t>
      </w:r>
    </w:p>
    <w:p w:rsidR="003343AD" w:rsidRDefault="003343AD" w:rsidP="003343AD">
      <w:pPr>
        <w:jc w:val="both"/>
      </w:pPr>
      <w:r w:rsidRPr="003343AD">
        <w:t>VII – Coordenar as ações municipais relativas ao </w:t>
      </w:r>
      <w:r w:rsidRPr="003343AD">
        <w:rPr>
          <w:b/>
          <w:bCs/>
        </w:rPr>
        <w:t>Simples Nacional</w:t>
      </w:r>
      <w:r w:rsidRPr="003343AD">
        <w:t>, conforme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123/2006</w:t>
      </w:r>
      <w:r w:rsidRPr="003343AD">
        <w:t xml:space="preserve"> e cronograma do </w:t>
      </w:r>
      <w:proofErr w:type="spellStart"/>
      <w:r w:rsidRPr="003343AD">
        <w:t>CGSN</w:t>
      </w:r>
      <w:proofErr w:type="spellEnd"/>
      <w:r w:rsidRPr="003343AD">
        <w:t>;</w:t>
      </w:r>
    </w:p>
    <w:p w:rsidR="003343AD" w:rsidRDefault="003343AD" w:rsidP="003343AD">
      <w:pPr>
        <w:jc w:val="both"/>
      </w:pPr>
      <w:r w:rsidRPr="003343AD">
        <w:t xml:space="preserve">VIII – Propor a reestruturação administrativa necessária para a </w:t>
      </w:r>
      <w:proofErr w:type="spellStart"/>
      <w:r w:rsidRPr="003343AD">
        <w:t>RTC</w:t>
      </w:r>
      <w:proofErr w:type="spellEnd"/>
      <w:r w:rsidRPr="003343AD">
        <w:t>, no período de 2026 a 2028;</w:t>
      </w:r>
      <w:r w:rsidRPr="003343AD">
        <w:br/>
        <w:t xml:space="preserve">IX – Acompanhar a </w:t>
      </w:r>
      <w:proofErr w:type="gramStart"/>
      <w:r w:rsidRPr="003343AD">
        <w:t>implementação</w:t>
      </w:r>
      <w:proofErr w:type="gramEnd"/>
      <w:r w:rsidRPr="003343AD">
        <w:t xml:space="preserve"> do </w:t>
      </w:r>
      <w:proofErr w:type="spellStart"/>
      <w:r w:rsidRPr="003343AD">
        <w:t>Cashback</w:t>
      </w:r>
      <w:proofErr w:type="spellEnd"/>
      <w:r w:rsidRPr="003343AD">
        <w:t xml:space="preserve"> da </w:t>
      </w:r>
      <w:proofErr w:type="spellStart"/>
      <w:r w:rsidRPr="003343AD">
        <w:t>CBS</w:t>
      </w:r>
      <w:proofErr w:type="spellEnd"/>
      <w:r w:rsidRPr="003343AD">
        <w:t xml:space="preserve"> e planejar eventual </w:t>
      </w:r>
      <w:proofErr w:type="spellStart"/>
      <w:r w:rsidRPr="003343AD">
        <w:t>Cashback</w:t>
      </w:r>
      <w:proofErr w:type="spellEnd"/>
      <w:r w:rsidRPr="003343AD">
        <w:t xml:space="preserve"> municipal do </w:t>
      </w:r>
      <w:proofErr w:type="spellStart"/>
      <w:r w:rsidRPr="003343AD">
        <w:t>IBS</w:t>
      </w:r>
      <w:proofErr w:type="spellEnd"/>
      <w:r w:rsidRPr="003343AD">
        <w:t>, conforme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215/2023</w:t>
      </w:r>
      <w:r w:rsidRPr="003343AD">
        <w:t> e </w:t>
      </w:r>
      <w:proofErr w:type="spellStart"/>
      <w:r w:rsidRPr="003343AD">
        <w:rPr>
          <w:b/>
          <w:bCs/>
        </w:rPr>
        <w:t>LC</w:t>
      </w:r>
      <w:proofErr w:type="spellEnd"/>
      <w:r w:rsidRPr="003343AD">
        <w:rPr>
          <w:b/>
          <w:bCs/>
        </w:rPr>
        <w:t xml:space="preserve"> nº 214/2025</w:t>
      </w:r>
      <w:r w:rsidRPr="003343AD">
        <w:t>;</w:t>
      </w:r>
    </w:p>
    <w:p w:rsidR="003343AD" w:rsidRPr="003343AD" w:rsidRDefault="003343AD" w:rsidP="003343AD">
      <w:pPr>
        <w:jc w:val="both"/>
      </w:pPr>
      <w:r w:rsidRPr="003343AD">
        <w:t>X – Elaborar relatórios trimestrais de acompanhamento para o Chefe do Poder Executivo.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Art. 3º</w:t>
      </w:r>
      <w:r>
        <w:rPr>
          <w:b/>
          <w:bCs/>
        </w:rPr>
        <w:t xml:space="preserve"> </w:t>
      </w:r>
      <w:r w:rsidRPr="003343AD">
        <w:t>A Comissão será composta pelos seguintes membros:</w:t>
      </w:r>
    </w:p>
    <w:p w:rsidR="003343AD" w:rsidRDefault="003343AD" w:rsidP="003343AD">
      <w:pPr>
        <w:jc w:val="both"/>
      </w:pPr>
      <w:r w:rsidRPr="003343AD">
        <w:t>I – </w:t>
      </w:r>
      <w:proofErr w:type="gramStart"/>
      <w:r w:rsidRPr="003343AD">
        <w:rPr>
          <w:b/>
          <w:bCs/>
        </w:rPr>
        <w:t>Secretário(</w:t>
      </w:r>
      <w:proofErr w:type="gramEnd"/>
      <w:r w:rsidRPr="003343AD">
        <w:rPr>
          <w:b/>
          <w:bCs/>
        </w:rPr>
        <w:t>a) Municipal da Fazenda</w:t>
      </w:r>
      <w:r w:rsidRPr="003343AD">
        <w:t>, que a presidirá;</w:t>
      </w:r>
    </w:p>
    <w:p w:rsidR="003343AD" w:rsidRDefault="003343AD" w:rsidP="003343AD">
      <w:pPr>
        <w:jc w:val="both"/>
      </w:pPr>
      <w:r w:rsidRPr="003343AD">
        <w:t>II – </w:t>
      </w:r>
      <w:proofErr w:type="gramStart"/>
      <w:r w:rsidRPr="003343AD">
        <w:rPr>
          <w:b/>
          <w:bCs/>
        </w:rPr>
        <w:t>Procurador(</w:t>
      </w:r>
      <w:proofErr w:type="gramEnd"/>
      <w:r w:rsidRPr="003343AD">
        <w:rPr>
          <w:b/>
          <w:bCs/>
        </w:rPr>
        <w:t>a)-Geral do Município</w:t>
      </w:r>
      <w:r w:rsidRPr="003343AD">
        <w:t>;</w:t>
      </w:r>
    </w:p>
    <w:p w:rsidR="003343AD" w:rsidRDefault="003343AD" w:rsidP="003343AD">
      <w:pPr>
        <w:jc w:val="both"/>
      </w:pPr>
      <w:r w:rsidRPr="003343AD">
        <w:t>III – </w:t>
      </w:r>
      <w:proofErr w:type="gramStart"/>
      <w:r w:rsidRPr="003343AD">
        <w:rPr>
          <w:b/>
          <w:bCs/>
        </w:rPr>
        <w:t>Secretário(</w:t>
      </w:r>
      <w:proofErr w:type="gramEnd"/>
      <w:r w:rsidRPr="003343AD">
        <w:rPr>
          <w:b/>
          <w:bCs/>
        </w:rPr>
        <w:t>a) Municipal de Administração</w:t>
      </w:r>
      <w:r w:rsidRPr="003343AD">
        <w:t>;</w:t>
      </w:r>
    </w:p>
    <w:p w:rsidR="003343AD" w:rsidRDefault="003343AD" w:rsidP="003343AD">
      <w:pPr>
        <w:jc w:val="both"/>
      </w:pPr>
      <w:r w:rsidRPr="003343AD">
        <w:t>IV – </w:t>
      </w:r>
      <w:r w:rsidRPr="003343AD">
        <w:rPr>
          <w:b/>
          <w:bCs/>
        </w:rPr>
        <w:t>Representante da Contabilidade Municipal</w:t>
      </w:r>
      <w:r w:rsidRPr="003343AD">
        <w:t>;</w:t>
      </w:r>
    </w:p>
    <w:p w:rsidR="003343AD" w:rsidRDefault="003343AD" w:rsidP="003343AD">
      <w:pPr>
        <w:jc w:val="both"/>
      </w:pPr>
      <w:r w:rsidRPr="003343AD">
        <w:t>V – </w:t>
      </w:r>
      <w:r w:rsidRPr="003343AD">
        <w:rPr>
          <w:b/>
          <w:bCs/>
        </w:rPr>
        <w:t>Representante do Departamento de Tecnologia da Informação</w:t>
      </w:r>
      <w:r w:rsidRPr="003343AD">
        <w:t>;</w:t>
      </w:r>
    </w:p>
    <w:p w:rsidR="003343AD" w:rsidRDefault="003343AD" w:rsidP="003343AD">
      <w:pPr>
        <w:jc w:val="both"/>
      </w:pPr>
      <w:r w:rsidRPr="003343AD">
        <w:t>VI – </w:t>
      </w:r>
      <w:r w:rsidRPr="003343AD">
        <w:rPr>
          <w:b/>
          <w:bCs/>
        </w:rPr>
        <w:t>Representante do Cadastro Imobiliário</w:t>
      </w:r>
      <w:r w:rsidRPr="003343AD">
        <w:t>;</w:t>
      </w:r>
    </w:p>
    <w:p w:rsidR="003343AD" w:rsidRDefault="003343AD" w:rsidP="003343AD">
      <w:pPr>
        <w:jc w:val="both"/>
      </w:pPr>
      <w:r w:rsidRPr="003343AD">
        <w:t>VII – </w:t>
      </w:r>
      <w:r w:rsidRPr="003343AD">
        <w:rPr>
          <w:b/>
          <w:bCs/>
        </w:rPr>
        <w:t>Representante da Fiscalização Tributária</w:t>
      </w:r>
      <w:r w:rsidRPr="003343AD">
        <w:t>;</w:t>
      </w:r>
    </w:p>
    <w:p w:rsidR="003343AD" w:rsidRPr="003343AD" w:rsidRDefault="003343AD" w:rsidP="003343AD">
      <w:pPr>
        <w:jc w:val="both"/>
      </w:pPr>
      <w:r w:rsidRPr="003343AD">
        <w:t>VIII – Outros membros que o Presidente da Comissão julgar necessários.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Art. 4º</w:t>
      </w:r>
      <w:r>
        <w:rPr>
          <w:b/>
          <w:bCs/>
        </w:rPr>
        <w:t xml:space="preserve"> </w:t>
      </w:r>
      <w:r w:rsidRPr="003343AD">
        <w:t>Compete ao Presidente da Comissão:</w:t>
      </w:r>
    </w:p>
    <w:p w:rsidR="003343AD" w:rsidRDefault="003343AD" w:rsidP="003343AD">
      <w:pPr>
        <w:jc w:val="both"/>
      </w:pPr>
      <w:r w:rsidRPr="003343AD">
        <w:t>I – Convocar reuniões, deliberar sobre pautas e distribuir tarefas;</w:t>
      </w:r>
      <w:r>
        <w:t xml:space="preserve"> </w:t>
      </w:r>
    </w:p>
    <w:p w:rsidR="003343AD" w:rsidRDefault="003343AD" w:rsidP="003343AD">
      <w:pPr>
        <w:jc w:val="both"/>
      </w:pPr>
      <w:r w:rsidRPr="003343AD">
        <w:t>II – Solicitar informações e documentos a qualquer órgão municipal;</w:t>
      </w:r>
    </w:p>
    <w:p w:rsidR="003343AD" w:rsidRDefault="003343AD" w:rsidP="003343AD">
      <w:pPr>
        <w:jc w:val="both"/>
      </w:pPr>
      <w:r w:rsidRPr="003343AD">
        <w:t>III – Encaminhar relatório trimestral ao Prefeito;</w:t>
      </w:r>
    </w:p>
    <w:p w:rsidR="003343AD" w:rsidRDefault="003343AD" w:rsidP="003343AD">
      <w:pPr>
        <w:jc w:val="both"/>
      </w:pPr>
      <w:r w:rsidRPr="003343AD">
        <w:t>IV – Requisitar apoio técnico de equipes específicas.</w:t>
      </w:r>
    </w:p>
    <w:p w:rsidR="003343AD" w:rsidRDefault="003343AD" w:rsidP="003343AD">
      <w:pPr>
        <w:jc w:val="both"/>
      </w:pPr>
      <w:r w:rsidRPr="003343AD">
        <w:rPr>
          <w:b/>
          <w:bCs/>
        </w:rPr>
        <w:t>Art. 5º</w:t>
      </w:r>
      <w:r>
        <w:rPr>
          <w:b/>
          <w:bCs/>
        </w:rPr>
        <w:t xml:space="preserve"> </w:t>
      </w:r>
      <w:r w:rsidRPr="003343AD">
        <w:t>A Comissão deverá produzir, no prazo de </w:t>
      </w:r>
      <w:r w:rsidRPr="003343AD">
        <w:rPr>
          <w:b/>
          <w:bCs/>
        </w:rPr>
        <w:t>30 dias</w:t>
      </w:r>
      <w:r w:rsidRPr="003343AD">
        <w:t>, o </w:t>
      </w:r>
      <w:r w:rsidRPr="003343AD">
        <w:rPr>
          <w:b/>
          <w:bCs/>
        </w:rPr>
        <w:t>PLANO MUNICIPAL DE TRANSIÇÃO PARA A REFORMA TRIBUTÁRIA</w:t>
      </w:r>
      <w:r w:rsidRPr="003343AD">
        <w:t>, contendo:</w:t>
      </w:r>
    </w:p>
    <w:p w:rsidR="003343AD" w:rsidRDefault="003343AD" w:rsidP="003343AD">
      <w:pPr>
        <w:jc w:val="both"/>
      </w:pPr>
      <w:r w:rsidRPr="003343AD">
        <w:t>I – cronograma municipal detalhado (2026 a 2032);</w:t>
      </w:r>
    </w:p>
    <w:p w:rsidR="003343AD" w:rsidRDefault="003343AD" w:rsidP="003343AD">
      <w:pPr>
        <w:jc w:val="both"/>
      </w:pPr>
      <w:r w:rsidRPr="003343AD">
        <w:t>II – responsabilidades por secretaria/setor;</w:t>
      </w:r>
    </w:p>
    <w:p w:rsidR="003343AD" w:rsidRDefault="003343AD" w:rsidP="003343AD">
      <w:pPr>
        <w:jc w:val="both"/>
      </w:pPr>
      <w:r w:rsidRPr="003343AD">
        <w:t>III – necessidades orçamentárias;</w:t>
      </w:r>
    </w:p>
    <w:p w:rsidR="003343AD" w:rsidRDefault="003343AD" w:rsidP="003343AD">
      <w:pPr>
        <w:jc w:val="both"/>
      </w:pPr>
      <w:r w:rsidRPr="003343AD">
        <w:t>IV – ações normativas, tecnológicas, cadastrais, contábeis, fiscais e de capacitação.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Art. 6º</w:t>
      </w:r>
      <w:r>
        <w:rPr>
          <w:b/>
          <w:bCs/>
        </w:rPr>
        <w:t xml:space="preserve"> </w:t>
      </w:r>
      <w:r w:rsidRPr="003343AD">
        <w:t>As atividades da Comissão serão consideradas de excepcional interesse público, não gerando remuneração adicional, e deverão ser realizadas sem prejuízo das funções originais dos servidores.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lastRenderedPageBreak/>
        <w:t>Art. 7º</w:t>
      </w:r>
      <w:r>
        <w:rPr>
          <w:b/>
          <w:bCs/>
        </w:rPr>
        <w:t xml:space="preserve"> </w:t>
      </w:r>
      <w:r w:rsidRPr="003343AD">
        <w:t>Este Decreto entra em vigor na data de sua publicação.</w:t>
      </w:r>
    </w:p>
    <w:p w:rsidR="003343AD" w:rsidRPr="003343AD" w:rsidRDefault="003343AD" w:rsidP="003343AD">
      <w:pPr>
        <w:jc w:val="both"/>
      </w:pPr>
      <w:r w:rsidRPr="003343AD">
        <w:rPr>
          <w:b/>
          <w:bCs/>
        </w:rPr>
        <w:t>Gabinete do Prefeito Municipal de ____, Estado do Tocantins, aos ___ dias do mês de ___ de 2026.</w:t>
      </w:r>
    </w:p>
    <w:p w:rsidR="003343AD" w:rsidRPr="003343AD" w:rsidRDefault="003343AD" w:rsidP="003343AD">
      <w:pPr>
        <w:jc w:val="center"/>
      </w:pPr>
      <w:r w:rsidRPr="003343AD">
        <w:rPr>
          <w:b/>
          <w:bCs/>
        </w:rPr>
        <w:t>Prefeito Municipal</w:t>
      </w:r>
    </w:p>
    <w:p w:rsidR="003343AD" w:rsidRPr="003343AD" w:rsidRDefault="003343AD" w:rsidP="003343AD">
      <w:pPr>
        <w:jc w:val="center"/>
      </w:pPr>
      <w:proofErr w:type="gramStart"/>
      <w:r w:rsidRPr="003343AD">
        <w:rPr>
          <w:b/>
          <w:bCs/>
        </w:rPr>
        <w:t>Secretário(</w:t>
      </w:r>
      <w:proofErr w:type="gramEnd"/>
      <w:r w:rsidRPr="003343AD">
        <w:rPr>
          <w:b/>
          <w:bCs/>
        </w:rPr>
        <w:t>a) Municipal da Fazenda</w:t>
      </w:r>
    </w:p>
    <w:p w:rsidR="003343AD" w:rsidRPr="003343AD" w:rsidRDefault="003343AD" w:rsidP="003343AD">
      <w:pPr>
        <w:jc w:val="center"/>
      </w:pPr>
      <w:proofErr w:type="gramStart"/>
      <w:r w:rsidRPr="003343AD">
        <w:rPr>
          <w:b/>
          <w:bCs/>
        </w:rPr>
        <w:t>Procurador(</w:t>
      </w:r>
      <w:proofErr w:type="gramEnd"/>
      <w:r w:rsidRPr="003343AD">
        <w:rPr>
          <w:b/>
          <w:bCs/>
        </w:rPr>
        <w:t>a)-Geral do Município</w:t>
      </w:r>
    </w:p>
    <w:p w:rsidR="0079757D" w:rsidRDefault="003343AD" w:rsidP="003343AD">
      <w:pPr>
        <w:jc w:val="both"/>
      </w:pPr>
    </w:p>
    <w:sectPr w:rsidR="0079757D" w:rsidSect="00AE2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343AD"/>
    <w:rsid w:val="000B0D20"/>
    <w:rsid w:val="003343AD"/>
    <w:rsid w:val="009139C2"/>
    <w:rsid w:val="00A2121C"/>
    <w:rsid w:val="00AE232C"/>
    <w:rsid w:val="00B1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2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Porto Salgado</dc:creator>
  <cp:lastModifiedBy>Porto Salgado</cp:lastModifiedBy>
  <cp:revision>1</cp:revision>
  <dcterms:created xsi:type="dcterms:W3CDTF">2026-01-21T03:38:00Z</dcterms:created>
  <dcterms:modified xsi:type="dcterms:W3CDTF">2026-01-21T03:41:00Z</dcterms:modified>
</cp:coreProperties>
</file>